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CCAC45">
      <w:pPr>
        <w:pStyle w:val="15"/>
        <w:widowControl/>
      </w:pPr>
      <mc:AlternateContent>
        <mc:Choice Requires="wpsCustomData">
          <wpsCustomData:docfieldStart id="0" docfieldname="标题_1" hidden="0" print="1" readonly="0" index="10"/>
        </mc:Choice>
      </mc:AlternateContent>
      <w:r>
        <w:t>巴彦淖尔市公安局人民警察实战训练基地        物业管理服务考核细则计分规则补充说明</w:t>
      </w:r>
      <mc:AlternateContent>
        <mc:Choice Requires="wpsCustomData">
          <wpsCustomData:docfieldEnd id="0"/>
        </mc:Choice>
      </mc:AlternateContent>
    </w:p>
    <w:p w14:paraId="68E468C0">
      <w:pPr>
        <w:pStyle w:val="11"/>
        <w:bidi w:val="0"/>
        <w:spacing w:beforeAutospacing="0" w:afterAutospacing="0" w:line="300" w:lineRule="exact"/>
      </w:pPr>
    </w:p>
    <w:p w14:paraId="3392DAD3">
      <w:pPr>
        <w:pStyle w:val="2"/>
        <w:widowControl/>
        <w:numPr>
          <w:ilvl w:val="0"/>
          <w:numId w:val="1"/>
        </w:numPr>
        <w:topLinePunct w:val="0"/>
        <w:ind w:left="0" w:leftChars="0" w:firstLine="640" w:firstLineChars="0"/>
        <w:rPr>
          <w:b w:val="0"/>
          <w:bdr w:val="none" w:sz="0" w:space="0"/>
        </w:rPr>
      </w:pPr>
      <w:r>
        <w:t>考核周期及计分规则补充说明</w:t>
      </w:r>
    </w:p>
    <w:p w14:paraId="644D6C77">
      <w:pPr>
        <w:pStyle w:val="3"/>
        <w:widowControl/>
        <w:numPr>
          <w:ilvl w:val="0"/>
          <w:numId w:val="2"/>
        </w:numPr>
        <w:topLinePunct w:val="0"/>
        <w:ind w:left="0" w:leftChars="0" w:firstLine="640" w:firstLineChars="0"/>
        <w:rPr>
          <w:rFonts w:hint="eastAsia" w:ascii="楷体_GB2312" w:hAnsi="楷体_GB2312" w:eastAsia="楷体_GB2312" w:cs="楷体_GB2312"/>
          <w:b w:val="0"/>
          <w:bdr w:val="none" w:sz="0" w:space="0"/>
        </w:rPr>
      </w:pPr>
      <w:r>
        <w:t>月度考核（基础考核）</w:t>
      </w:r>
    </w:p>
    <w:p w14:paraId="36E1B16D">
      <w:pPr>
        <w:pStyle w:val="11"/>
        <w:widowControl/>
        <w:numPr>
          <w:ilvl w:val="0"/>
          <w:numId w:val="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1F2329"/>
          <w:bdr w:val="none" w:sz="0" w:space="0"/>
        </w:rPr>
      </w:pPr>
      <w:r>
        <w:rPr>
          <w:color w:val="1F2329"/>
        </w:rPr>
        <w:t>月度考核为季度考核的基础，每月末按原细则（100 分制）开展全面考核，形成当月考核得分（以下简称 “月得分”）。</w:t>
      </w:r>
    </w:p>
    <w:p w14:paraId="50C8817A">
      <w:pPr>
        <w:pStyle w:val="11"/>
        <w:widowControl/>
        <w:numPr>
          <w:ilvl w:val="0"/>
          <w:numId w:val="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1F2329"/>
          <w:bdr w:val="none" w:sz="0" w:space="0"/>
        </w:rPr>
      </w:pPr>
      <w:r>
        <w:rPr>
          <w:color w:val="1F2329"/>
        </w:rPr>
        <w:t>月度考核结果仅作为季度考核评分依据，不直接与服务费用支付挂钩，但当月出现 “不合格”（得分＜70 分）或同一问题 2 次以上（含 2 次）未整改达标时，须在季度考核中加重扣分（具体见季度考核规则）。</w:t>
      </w:r>
    </w:p>
    <w:p w14:paraId="1D1421AE">
      <w:pPr>
        <w:pStyle w:val="3"/>
        <w:widowControl/>
        <w:numPr>
          <w:ilvl w:val="0"/>
          <w:numId w:val="2"/>
        </w:numPr>
        <w:topLinePunct w:val="0"/>
        <w:ind w:left="0" w:leftChars="0" w:firstLine="640" w:firstLineChars="0"/>
        <w:rPr>
          <w:rFonts w:hint="eastAsia" w:ascii="楷体_GB2312" w:hAnsi="楷体_GB2312" w:eastAsia="楷体_GB2312" w:cs="楷体_GB2312"/>
          <w:b w:val="0"/>
          <w:bdr w:val="none" w:sz="0" w:space="0"/>
        </w:rPr>
      </w:pPr>
      <w:r>
        <w:t>季度考核（结算考核）</w:t>
      </w:r>
    </w:p>
    <w:p w14:paraId="4D4CDBC1">
      <w:pPr>
        <w:pStyle w:val="11"/>
        <w:widowControl/>
        <w:numPr>
          <w:ilvl w:val="0"/>
          <w:numId w:val="4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1F2329"/>
          <w:bdr w:val="none" w:sz="0" w:space="0"/>
        </w:rPr>
      </w:pPr>
      <w:r>
        <w:rPr>
          <w:color w:val="1F2329"/>
        </w:rPr>
        <w:t>季度考核得分 ＝（本季度 3 个月度考核得分之和 ÷3）×90％ ＋ 季度专项考核得分 ×10％</w:t>
      </w:r>
    </w:p>
    <w:p w14:paraId="37F3A927">
      <w:pPr>
        <w:pStyle w:val="11"/>
        <w:widowControl/>
        <w:numPr>
          <w:ilvl w:val="0"/>
          <w:numId w:val="5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auto"/>
          <w:bdr w:val="none" w:sz="0" w:space="0"/>
        </w:rPr>
      </w:pPr>
      <w:r>
        <w:rPr>
          <w:rStyle w:val="18"/>
        </w:rPr>
        <w:t>月度得分平均值</w:t>
      </w:r>
      <w:r>
        <w:rPr>
          <w:color w:val="1F2329"/>
        </w:rPr>
        <w:t>：权重 90％，体现乙方日常服务的稳定性和持续性。</w:t>
      </w:r>
    </w:p>
    <w:p w14:paraId="12C78F46">
      <w:pPr>
        <w:pStyle w:val="11"/>
        <w:widowControl/>
        <w:numPr>
          <w:ilvl w:val="0"/>
          <w:numId w:val="5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auto"/>
          <w:bdr w:val="none" w:sz="0" w:space="0"/>
        </w:rPr>
      </w:pPr>
      <w:r>
        <w:rPr>
          <w:rStyle w:val="18"/>
        </w:rPr>
        <w:t>季度专项考核</w:t>
      </w:r>
      <w:r>
        <w:rPr>
          <w:color w:val="1F2329"/>
        </w:rPr>
        <w:t>：权重 10 分（占季度总分 10％），聚焦季度内重点工作完成情况， 按乙方提交的季度服务计划逐项核查，全部完成得 3 分，未完成 1 项扣 1 分，扣完为止；重大任务保障情况，季度内基地重大培训、会议等活动保障，无失误得 3 ，出现 1 次保障不及时、不到位扣 1 分，扣完为止； 资产盘点与费用合规情况，按合同要求完成固定资产及非固定资产盘点，数据准确得 2 分，盘点不及时或数据错误扣 1－2 分，费用结算、发票提供无违规得 2 分，出现 1 次违规扣 2 分 。</w:t>
      </w:r>
    </w:p>
    <w:p w14:paraId="5F42123C">
      <w:pPr>
        <w:pStyle w:val="11"/>
        <w:widowControl/>
        <w:numPr>
          <w:ilvl w:val="0"/>
          <w:numId w:val="4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1F2329"/>
          <w:bdr w:val="none" w:sz="0" w:space="0"/>
        </w:rPr>
      </w:pPr>
      <w:r>
        <w:rPr>
          <w:color w:val="1F2329"/>
        </w:rPr>
        <w:t>季度考核等级划分仍按原细则执行：</w:t>
      </w:r>
    </w:p>
    <w:p w14:paraId="3211E24D">
      <w:pPr>
        <w:pStyle w:val="11"/>
        <w:widowControl/>
        <w:numPr>
          <w:ilvl w:val="0"/>
          <w:numId w:val="6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auto"/>
          <w:bdr w:val="none" w:sz="0" w:space="0"/>
        </w:rPr>
      </w:pPr>
      <w:r>
        <w:rPr>
          <w:rStyle w:val="18"/>
        </w:rPr>
        <w:t>优秀</w:t>
      </w:r>
      <w:r>
        <w:rPr>
          <w:color w:val="1F2329"/>
        </w:rPr>
        <w:t>：得分≥90 分</w:t>
      </w:r>
    </w:p>
    <w:p w14:paraId="4B0B8ABA">
      <w:pPr>
        <w:pStyle w:val="11"/>
        <w:widowControl/>
        <w:numPr>
          <w:ilvl w:val="0"/>
          <w:numId w:val="6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auto"/>
          <w:bdr w:val="none" w:sz="0" w:space="0"/>
        </w:rPr>
      </w:pPr>
      <w:r>
        <w:rPr>
          <w:rStyle w:val="18"/>
        </w:rPr>
        <w:t>合格</w:t>
      </w:r>
      <w:r>
        <w:rPr>
          <w:color w:val="1F2329"/>
        </w:rPr>
        <w:t>：80 分≤得分＜90 分</w:t>
      </w:r>
    </w:p>
    <w:p w14:paraId="1882CE62">
      <w:pPr>
        <w:pStyle w:val="11"/>
        <w:widowControl/>
        <w:numPr>
          <w:ilvl w:val="0"/>
          <w:numId w:val="6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auto"/>
          <w:bdr w:val="none" w:sz="0" w:space="0"/>
        </w:rPr>
      </w:pPr>
      <w:r>
        <w:rPr>
          <w:rStyle w:val="18"/>
        </w:rPr>
        <w:t>基本合格</w:t>
      </w:r>
      <w:r>
        <w:rPr>
          <w:color w:val="1F2329"/>
        </w:rPr>
        <w:t>：70 分≤得分＜80 分</w:t>
      </w:r>
    </w:p>
    <w:p w14:paraId="61D88C82">
      <w:pPr>
        <w:pStyle w:val="11"/>
        <w:widowControl/>
        <w:numPr>
          <w:ilvl w:val="0"/>
          <w:numId w:val="6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auto"/>
          <w:bdr w:val="none" w:sz="0" w:space="0"/>
        </w:rPr>
      </w:pPr>
      <w:r>
        <w:rPr>
          <w:rStyle w:val="18"/>
        </w:rPr>
        <w:t>不合格</w:t>
      </w:r>
      <w:r>
        <w:rPr>
          <w:color w:val="1F2329"/>
        </w:rPr>
        <w:t>：得分＜70 分</w:t>
      </w:r>
    </w:p>
    <w:p w14:paraId="1D9F264E">
      <w:pPr>
        <w:pStyle w:val="11"/>
        <w:widowControl/>
        <w:numPr>
          <w:ilvl w:val="0"/>
          <w:numId w:val="4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1F2329"/>
          <w:bdr w:val="none" w:sz="0" w:space="0"/>
        </w:rPr>
      </w:pPr>
      <w:r>
        <w:rPr>
          <w:color w:val="1F2329"/>
        </w:rPr>
        <w:t>特殊情形处理：</w:t>
      </w:r>
    </w:p>
    <w:p w14:paraId="4DDCF1A1">
      <w:pPr>
        <w:pStyle w:val="11"/>
        <w:widowControl/>
        <w:numPr>
          <w:ilvl w:val="0"/>
          <w:numId w:val="7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1F2329"/>
          <w:bdr w:val="none" w:sz="0" w:space="0"/>
        </w:rPr>
      </w:pPr>
      <w:r>
        <w:rPr>
          <w:color w:val="1F2329"/>
        </w:rPr>
        <w:t>季度内任一月度考核得分＜70 分（不合格），季度考核总分直接扣 10 分；若 2 个及以上月度得分＜70 分，季度考核直接判定为 “不合格”。</w:t>
      </w:r>
    </w:p>
    <w:p w14:paraId="6483A901">
      <w:pPr>
        <w:pStyle w:val="11"/>
        <w:widowControl/>
        <w:numPr>
          <w:ilvl w:val="0"/>
          <w:numId w:val="7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1F2329"/>
          <w:bdr w:val="none" w:sz="0" w:space="0"/>
        </w:rPr>
      </w:pPr>
      <w:r>
        <w:rPr>
          <w:color w:val="1F2329"/>
        </w:rPr>
        <w:t>季度内同一问题经甲方 3 次以上（含 3 次）书面整改通知仍未达标，季度考核直接判定为 “不合格”。</w:t>
      </w:r>
    </w:p>
    <w:p w14:paraId="6FC50CBC">
      <w:pPr>
        <w:pStyle w:val="2"/>
        <w:widowControl/>
        <w:numPr>
          <w:ilvl w:val="0"/>
          <w:numId w:val="1"/>
        </w:numPr>
        <w:topLinePunct w:val="0"/>
        <w:ind w:left="0" w:leftChars="0" w:firstLine="640" w:firstLineChars="0"/>
        <w:rPr>
          <w:b w:val="0"/>
          <w:bdr w:val="none" w:sz="0" w:space="0"/>
        </w:rPr>
      </w:pPr>
      <w:r>
        <w:t>考核结果应用补充</w:t>
      </w:r>
    </w:p>
    <w:p w14:paraId="3C0237F6">
      <w:pPr>
        <w:pStyle w:val="11"/>
        <w:widowControl/>
        <w:numPr>
          <w:ilvl w:val="0"/>
          <w:numId w:val="8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1F2329"/>
          <w:bdr w:val="none" w:sz="0" w:space="0"/>
        </w:rPr>
      </w:pPr>
      <w:r>
        <w:rPr>
          <w:color w:val="1F2329"/>
        </w:rPr>
        <w:t>季度考核结果直接与合同约定的服务费用支付挂钩（原细则 “五、考核结果应用”中与季度相关的条款，均以本补充修订版的季度考核得分及等级为准）。</w:t>
      </w:r>
    </w:p>
    <w:p w14:paraId="562CCD9C">
      <w:pPr>
        <w:pStyle w:val="11"/>
        <w:pageBreakBefore w:val="0"/>
        <w:widowControl/>
        <w:numPr>
          <w:ilvl w:val="0"/>
          <w:numId w:val="8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16" w:firstLineChars="0"/>
        <w:textAlignment w:val="auto"/>
        <w:rPr>
          <w:rFonts w:hint="eastAsia" w:ascii="仿宋_GB2312" w:hAnsi="仿宋_GB2312" w:eastAsia="仿宋_GB2312" w:cs="仿宋_GB2312"/>
          <w:b w:val="0"/>
          <w:bdr w:val="none" w:sz="0" w:space="0"/>
        </w:rPr>
      </w:pPr>
      <w:r>
        <w:rPr>
          <w:color w:val="1F2329"/>
        </w:rPr>
        <w:t>年度考核得分 ＝（全年 4 个季度考核得分之和 ÷4），年度考核等级划分及应用仍按原细则执行。</w:t>
      </w:r>
    </w:p>
    <w:p w14:paraId="0D359F40">
      <w:pPr>
        <w:pStyle w:val="2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left="0" w:leftChars="0" w:firstLine="640" w:firstLineChars="0"/>
        <w:textAlignment w:val="auto"/>
        <w:rPr>
          <w:b w:val="0"/>
          <w:bdr w:val="none" w:sz="0" w:space="0"/>
        </w:rPr>
      </w:pPr>
      <w:bookmarkStart w:id="0" w:name="_GoBack"/>
      <w:bookmarkEnd w:id="0"/>
      <w:r>
        <w:t>附则</w:t>
      </w:r>
    </w:p>
    <w:p w14:paraId="26E434F5">
      <w:pPr>
        <w:pStyle w:val="11"/>
        <w:pageBreakBefore w:val="0"/>
        <w:widowControl/>
        <w:numPr>
          <w:ilvl w:val="0"/>
          <w:numId w:val="9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16" w:firstLineChars="0"/>
        <w:textAlignment w:val="auto"/>
        <w:rPr>
          <w:rFonts w:hint="eastAsia" w:ascii="仿宋_GB2312" w:hAnsi="仿宋_GB2312" w:eastAsia="仿宋_GB2312" w:cs="仿宋_GB2312"/>
          <w:b w:val="0"/>
          <w:color w:val="1F2329"/>
          <w:bdr w:val="none" w:sz="0" w:space="0"/>
        </w:rPr>
      </w:pPr>
      <w:r>
        <w:rPr>
          <w:color w:val="1F2329"/>
        </w:rPr>
        <w:t>本补充修订版为原绩效考核细则的组成部分，与原细则具有同等效力；原细则中与本补充修订版不一致的，以本补充修订版为准。</w:t>
      </w:r>
    </w:p>
    <w:p w14:paraId="5A8056DF">
      <w:pPr>
        <w:pStyle w:val="11"/>
        <w:pageBreakBefore w:val="0"/>
        <w:widowControl/>
        <w:numPr>
          <w:ilvl w:val="0"/>
          <w:numId w:val="9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16" w:firstLineChars="0"/>
        <w:textAlignment w:val="auto"/>
        <w:rPr>
          <w:rFonts w:hint="eastAsia" w:ascii="仿宋_GB2312" w:hAnsi="仿宋_GB2312" w:eastAsia="仿宋_GB2312" w:cs="仿宋_GB2312"/>
          <w:b w:val="0"/>
          <w:color w:val="1F2329"/>
          <w:bdr w:val="none" w:sz="0" w:space="0"/>
        </w:rPr>
      </w:pPr>
      <w:r>
        <w:rPr>
          <w:color w:val="1F2329"/>
        </w:rPr>
        <w:t>本补充修订版自双方签字确认之日起生效，与原细则同期执行。</w:t>
      </w:r>
    </w:p>
    <w:p w14:paraId="173673B7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/>
        </w:rPr>
      </w:pPr>
    </w:p>
    <w:sectPr>
      <w:footerReference r:id="rId5" w:type="default"/>
      <w:footerReference r:id="rId6" w:type="even"/>
      <w:pgSz w:w="11906" w:h="16838"/>
      <w:pgMar w:top="2098" w:right="1474" w:bottom="1984" w:left="1587" w:header="851" w:footer="1417" w:gutter="0"/>
      <w:pgNumType w:fmt="decimal" w:start="1"/>
      <w:cols w:space="425" w:num="1"/>
      <w:docGrid w:type="linesAndChars" w:linePitch="579" w:charSpace="1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7F8410">
    <w:pPr>
      <w:pStyle w:val="1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70154B0">
                          <w:pPr>
                            <w:pStyle w:val="12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1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UuKWy90CAAAk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70154B0">
                    <w:pPr>
                      <w:pStyle w:val="12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1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8CA4CF">
    <w:pPr>
      <w:pStyle w:val="1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7F4072">
                          <w:pPr>
                            <w:pStyle w:val="12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2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MDJ3Ut0CAAAk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7F4072">
                    <w:pPr>
                      <w:pStyle w:val="12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2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0A44BE"/>
    <w:multiLevelType w:val="singleLevel"/>
    <w:tmpl w:val="C50A44BE"/>
    <w:lvl w:ilvl="0" w:tentative="0">
      <w:start w:val="1"/>
      <w:numFmt w:val="decimal"/>
      <w:suff w:val="nothing"/>
      <w:lvlText w:val="%1．"/>
      <w:lvlJc w:val="left"/>
      <w:pPr>
        <w:ind w:left="0" w:firstLine="616"/>
      </w:pPr>
      <w:rPr>
        <w:rFonts w:hint="default"/>
      </w:rPr>
    </w:lvl>
  </w:abstractNum>
  <w:abstractNum w:abstractNumId="1">
    <w:nsid w:val="D88577B3"/>
    <w:multiLevelType w:val="singleLevel"/>
    <w:tmpl w:val="D88577B3"/>
    <w:lvl w:ilvl="0" w:tentative="0">
      <w:start w:val="1"/>
      <w:numFmt w:val="decimal"/>
      <w:suff w:val="nothing"/>
      <w:lvlText w:val="%1．"/>
      <w:lvlJc w:val="left"/>
      <w:pPr>
        <w:ind w:left="0" w:firstLine="616"/>
      </w:pPr>
      <w:rPr>
        <w:rFonts w:hint="default"/>
      </w:rPr>
    </w:lvl>
  </w:abstractNum>
  <w:abstractNum w:abstractNumId="2">
    <w:nsid w:val="F2140BE9"/>
    <w:multiLevelType w:val="singleLevel"/>
    <w:tmpl w:val="F2140BE9"/>
    <w:lvl w:ilvl="0" w:tentative="0">
      <w:start w:val="1"/>
      <w:numFmt w:val="taiwaneseCounting"/>
      <w:suff w:val="nothing"/>
      <w:lvlText w:val="%1、"/>
      <w:lvlJc w:val="left"/>
      <w:pPr>
        <w:ind w:left="0" w:firstLine="640"/>
      </w:pPr>
      <w:rPr>
        <w:rFonts w:hint="eastAsia"/>
      </w:rPr>
    </w:lvl>
  </w:abstractNum>
  <w:abstractNum w:abstractNumId="3">
    <w:nsid w:val="F52D4F02"/>
    <w:multiLevelType w:val="singleLevel"/>
    <w:tmpl w:val="F52D4F02"/>
    <w:lvl w:ilvl="0" w:tentative="0">
      <w:start w:val="1"/>
      <w:numFmt w:val="decimal"/>
      <w:suff w:val="nothing"/>
      <w:lvlText w:val="%1．"/>
      <w:lvlJc w:val="left"/>
      <w:pPr>
        <w:ind w:left="0" w:firstLine="616"/>
      </w:pPr>
      <w:rPr>
        <w:rFonts w:hint="default"/>
      </w:rPr>
    </w:lvl>
  </w:abstractNum>
  <w:abstractNum w:abstractNumId="4">
    <w:nsid w:val="005A0B4E"/>
    <w:multiLevelType w:val="singleLevel"/>
    <w:tmpl w:val="005A0B4E"/>
    <w:lvl w:ilvl="0" w:tentative="0">
      <w:start w:val="1"/>
      <w:numFmt w:val="decimal"/>
      <w:suff w:val="nothing"/>
      <w:lvlText w:val="%1．"/>
      <w:lvlJc w:val="left"/>
      <w:pPr>
        <w:ind w:left="0" w:firstLine="616"/>
      </w:pPr>
      <w:rPr>
        <w:rFonts w:hint="default"/>
      </w:rPr>
    </w:lvl>
  </w:abstractNum>
  <w:abstractNum w:abstractNumId="5">
    <w:nsid w:val="081E54AD"/>
    <w:multiLevelType w:val="singleLevel"/>
    <w:tmpl w:val="081E54AD"/>
    <w:lvl w:ilvl="0" w:tentative="0">
      <w:start w:val="1"/>
      <w:numFmt w:val="decimal"/>
      <w:suff w:val="nothing"/>
      <w:lvlText w:val="%1．"/>
      <w:lvlJc w:val="left"/>
      <w:pPr>
        <w:ind w:left="0" w:firstLine="616"/>
      </w:pPr>
      <w:rPr>
        <w:rFonts w:hint="default"/>
      </w:rPr>
    </w:lvl>
  </w:abstractNum>
  <w:abstractNum w:abstractNumId="6">
    <w:nsid w:val="1893D70F"/>
    <w:multiLevelType w:val="singleLevel"/>
    <w:tmpl w:val="1893D70F"/>
    <w:lvl w:ilvl="0" w:tentative="0">
      <w:start w:val="1"/>
      <w:numFmt w:val="taiwaneseCounting"/>
      <w:suff w:val="nothing"/>
      <w:lvlText w:val="（%1）"/>
      <w:lvlJc w:val="left"/>
      <w:pPr>
        <w:ind w:left="0" w:firstLine="640"/>
      </w:pPr>
      <w:rPr>
        <w:rFonts w:hint="eastAsia"/>
      </w:rPr>
    </w:lvl>
  </w:abstractNum>
  <w:abstractNum w:abstractNumId="7">
    <w:nsid w:val="2C1856A8"/>
    <w:multiLevelType w:val="singleLevel"/>
    <w:tmpl w:val="2C1856A8"/>
    <w:lvl w:ilvl="0" w:tentative="0">
      <w:start w:val="1"/>
      <w:numFmt w:val="decimal"/>
      <w:suff w:val="nothing"/>
      <w:lvlText w:val="%1．"/>
      <w:lvlJc w:val="left"/>
      <w:pPr>
        <w:ind w:left="0" w:firstLine="616"/>
      </w:pPr>
      <w:rPr>
        <w:rFonts w:hint="default"/>
      </w:rPr>
    </w:lvl>
  </w:abstractNum>
  <w:abstractNum w:abstractNumId="8">
    <w:nsid w:val="4EEE4856"/>
    <w:multiLevelType w:val="singleLevel"/>
    <w:tmpl w:val="4EEE4856"/>
    <w:lvl w:ilvl="0" w:tentative="0">
      <w:start w:val="1"/>
      <w:numFmt w:val="decimal"/>
      <w:suff w:val="nothing"/>
      <w:lvlText w:val="%1．"/>
      <w:lvlJc w:val="left"/>
      <w:pPr>
        <w:ind w:left="0" w:firstLine="616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 w:numId="7">
    <w:abstractNumId w:val="4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evenAndOddHeaders w:val="1"/>
  <w:drawingGridHorizontalSpacing w:val="158"/>
  <w:drawingGridVerticalSpacing w:val="290"/>
  <w:displayHorizontalDrawingGridEvery w:val="2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E204A0"/>
    <w:rsid w:val="66836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officialmode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仿宋_GB2312" w:hAnsi="仿宋_GB2312" w:eastAsia="仿宋_GB2312" w:cs="Times New Roman"/>
      <w:spacing w:val="-6"/>
      <w:kern w:val="2"/>
      <w:sz w:val="32"/>
      <w:szCs w:val="32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0"/>
    </w:pPr>
    <w:rPr>
      <w:rFonts w:ascii="黑体" w:hAnsi="黑体" w:eastAsia="黑体" w:cs="黑体"/>
      <w:kern w:val="44"/>
      <w:sz w:val="32"/>
      <w:szCs w:val="32"/>
    </w:rPr>
  </w:style>
  <w:style w:type="paragraph" w:styleId="3">
    <w:name w:val="heading 2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1"/>
    </w:pPr>
    <w:rPr>
      <w:rFonts w:ascii="Times New Roman" w:hAnsi="Times New Roman" w:eastAsia="楷体_GB2312" w:cs="楷体_GB2312"/>
      <w:sz w:val="32"/>
      <w:szCs w:val="32"/>
    </w:rPr>
  </w:style>
  <w:style w:type="paragraph" w:styleId="4">
    <w:name w:val="heading 3"/>
    <w:next w:val="1"/>
    <w:link w:val="18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2"/>
    </w:pPr>
    <w:rPr>
      <w:rFonts w:ascii="Times New Roman" w:hAnsi="Times New Roman" w:eastAsia="仿宋_GB2312" w:cs="仿宋_GB2312"/>
      <w:sz w:val="32"/>
      <w:szCs w:val="32"/>
    </w:rPr>
  </w:style>
  <w:style w:type="paragraph" w:styleId="5">
    <w:name w:val="heading 4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3"/>
    </w:pPr>
    <w:rPr>
      <w:rFonts w:ascii="Times New Roman" w:hAnsi="Times New Roman" w:eastAsia="仿宋_GB2312" w:cs="仿宋_GB2312"/>
      <w:sz w:val="32"/>
      <w:szCs w:val="32"/>
    </w:rPr>
  </w:style>
  <w:style w:type="paragraph" w:styleId="6">
    <w:name w:val="heading 5"/>
    <w:next w:val="1"/>
    <w:semiHidden/>
    <w:unhideWhenUsed/>
    <w:qFormat/>
    <w:uiPriority w:val="0"/>
    <w:pPr>
      <w:spacing w:line="560" w:lineRule="exact"/>
      <w:ind w:firstLine="894" w:firstLineChars="200"/>
      <w:outlineLvl w:val="4"/>
    </w:pPr>
    <w:rPr>
      <w:rFonts w:ascii="Times New Roman" w:hAnsi="Times New Roman" w:eastAsia="仿宋_GB2312" w:cs="仿宋_GB2312"/>
      <w:sz w:val="32"/>
      <w:szCs w:val="32"/>
    </w:rPr>
  </w:style>
  <w:style w:type="paragraph" w:styleId="7">
    <w:name w:val="heading 6"/>
    <w:next w:val="1"/>
    <w:semiHidden/>
    <w:unhideWhenUsed/>
    <w:qFormat/>
    <w:uiPriority w:val="0"/>
    <w:pPr>
      <w:spacing w:line="560" w:lineRule="exact"/>
      <w:ind w:firstLine="894" w:firstLineChars="200"/>
      <w:outlineLvl w:val="5"/>
    </w:pPr>
    <w:rPr>
      <w:rFonts w:ascii="Times New Roman" w:hAnsi="Times New Roman" w:eastAsia="仿宋_GB2312" w:cs="仿宋_GB2312"/>
      <w:sz w:val="32"/>
      <w:szCs w:val="32"/>
    </w:rPr>
  </w:style>
  <w:style w:type="paragraph" w:styleId="8">
    <w:name w:val="heading 7"/>
    <w:next w:val="1"/>
    <w:semiHidden/>
    <w:unhideWhenUsed/>
    <w:qFormat/>
    <w:uiPriority w:val="0"/>
    <w:pPr>
      <w:spacing w:line="560" w:lineRule="exact"/>
      <w:ind w:firstLine="894" w:firstLineChars="200"/>
      <w:outlineLvl w:val="6"/>
    </w:pPr>
    <w:rPr>
      <w:rFonts w:ascii="Times New Roman" w:hAnsi="Times New Roman" w:eastAsia="仿宋_GB2312" w:cs="仿宋_GB2312"/>
      <w:sz w:val="32"/>
      <w:szCs w:val="32"/>
    </w:rPr>
  </w:style>
  <w:style w:type="paragraph" w:styleId="9">
    <w:name w:val="heading 8"/>
    <w:next w:val="1"/>
    <w:semiHidden/>
    <w:unhideWhenUsed/>
    <w:qFormat/>
    <w:uiPriority w:val="0"/>
    <w:pPr>
      <w:spacing w:line="560" w:lineRule="exact"/>
      <w:ind w:firstLine="894" w:firstLineChars="200"/>
      <w:outlineLvl w:val="7"/>
    </w:pPr>
    <w:rPr>
      <w:rFonts w:ascii="Times New Roman" w:hAnsi="Times New Roman" w:eastAsia="仿宋_GB2312" w:cs="仿宋_GB2312"/>
      <w:sz w:val="32"/>
      <w:szCs w:val="32"/>
    </w:rPr>
  </w:style>
  <w:style w:type="paragraph" w:styleId="10">
    <w:name w:val="heading 9"/>
    <w:next w:val="1"/>
    <w:semiHidden/>
    <w:unhideWhenUsed/>
    <w:qFormat/>
    <w:uiPriority w:val="0"/>
    <w:pPr>
      <w:spacing w:line="560" w:lineRule="exact"/>
      <w:ind w:firstLine="894" w:firstLineChars="200"/>
      <w:outlineLvl w:val="8"/>
    </w:pPr>
    <w:rPr>
      <w:rFonts w:ascii="Times New Roman" w:hAnsi="Times New Roman" w:eastAsia="仿宋_GB2312" w:cs="仿宋_GB2312"/>
      <w:sz w:val="32"/>
      <w:szCs w:val="32"/>
    </w:rPr>
  </w:style>
  <w:style w:type="character" w:default="1" w:styleId="17">
    <w:name w:val="Default Paragraph Font"/>
    <w:semiHidden/>
    <w:qFormat/>
    <w:uiPriority w:val="0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link w:val="19"/>
    <w:uiPriority w:val="0"/>
    <w:pPr>
      <w:spacing w:line="560" w:lineRule="exact"/>
      <w:ind w:firstLine="630" w:firstLineChars="200"/>
      <w:jc w:val="both"/>
    </w:pPr>
    <w:rPr>
      <w:rFonts w:ascii="Times New Roman" w:hAnsi="Times New Roman" w:eastAsia="仿宋_GB2312" w:cs="仿宋_GB2312"/>
      <w:spacing w:val="-6"/>
      <w:sz w:val="32"/>
      <w:szCs w:val="32"/>
    </w:r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4">
    <w:name w:val="Subtitle"/>
    <w:qFormat/>
    <w:uiPriority w:val="0"/>
    <w:pPr>
      <w:spacing w:beforeLines="0" w:beforeAutospacing="0" w:afterLines="0" w:afterAutospacing="0" w:line="720" w:lineRule="exact"/>
      <w:jc w:val="center"/>
      <w:outlineLvl w:val="9"/>
    </w:pPr>
    <w:rPr>
      <w:rFonts w:ascii="Times New Roman" w:hAnsi="Times New Roman" w:eastAsia="仿宋_GB2312" w:cs="仿宋_GB2312"/>
      <w:kern w:val="28"/>
      <w:sz w:val="32"/>
      <w:szCs w:val="32"/>
    </w:rPr>
  </w:style>
  <w:style w:type="paragraph" w:styleId="15">
    <w:name w:val="Title"/>
    <w:qFormat/>
    <w:uiPriority w:val="0"/>
    <w:pPr>
      <w:spacing w:line="720" w:lineRule="exact"/>
      <w:jc w:val="center"/>
      <w:outlineLvl w:val="9"/>
    </w:pPr>
    <w:rPr>
      <w:rFonts w:ascii="方正小标宋简体" w:hAnsi="方正小标宋简体" w:eastAsia="方正小标宋简体" w:cs="方正小标宋简体"/>
      <w:sz w:val="44"/>
      <w:szCs w:val="44"/>
    </w:rPr>
  </w:style>
  <w:style w:type="character" w:customStyle="1" w:styleId="18">
    <w:name w:val="标题 3 Char"/>
    <w:link w:val="4"/>
    <w:uiPriority w:val="0"/>
    <w:rPr>
      <w:rFonts w:ascii="Times New Roman" w:hAnsi="Times New Roman" w:eastAsia="仿宋_GB2312" w:cs="仿宋_GB2312"/>
      <w:sz w:val="32"/>
      <w:szCs w:val="32"/>
    </w:rPr>
  </w:style>
  <w:style w:type="character" w:customStyle="1" w:styleId="19">
    <w:name w:val="正文文本 Char"/>
    <w:link w:val="11"/>
    <w:qFormat/>
    <w:uiPriority w:val="0"/>
    <w:rPr>
      <w:rFonts w:ascii="Times New Roman" w:hAnsi="Times New Roman" w:eastAsia="仿宋_GB2312" w:cs="仿宋_GB2312"/>
      <w:spacing w:val="-6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950</Words>
  <Characters>973</Characters>
  <Lines>0</Lines>
  <Paragraphs>0</Paragraphs>
  <TotalTime>10</TotalTime>
  <ScaleCrop>false</ScaleCrop>
  <LinksUpToDate>false</LinksUpToDate>
  <CharactersWithSpaces>1061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姜文君</dc:creator>
  <cp:lastModifiedBy>百焚桨惭赖</cp:lastModifiedBy>
  <cp:lastPrinted>2026-01-20T02:39:19Z</cp:lastPrinted>
  <dcterms:modified xsi:type="dcterms:W3CDTF">2026-01-20T02:40:16Z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eyJoZGlkIjoiMDNhNDM4OTFiNzYyMzc5NjZlNzMzMWU3YjcxMDk0MjYiLCJ1c2VySWQiOiIxNjk2NjAwNDYxIn0=</vt:lpwstr>
  </property>
  <property fmtid="{D5CDD505-2E9C-101B-9397-08002B2CF9AE}" pid="4" name="ICV">
    <vt:lpwstr>5669760EBF734748AAC6E54AA311FE05_12</vt:lpwstr>
  </property>
</Properties>
</file>